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Ind w:w="-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0"/>
        <w:tblGridChange w:id="0">
          <w:tblGrid>
            <w:gridCol w:w="11910"/>
          </w:tblGrid>
        </w:tblGridChange>
      </w:tblGrid>
      <w:tr>
        <w:trPr>
          <w:cantSplit w:val="0"/>
          <w:trHeight w:val="115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1412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ind w:right="444"/>
              <w:rPr>
                <w:color w:val="ffffff"/>
              </w:rPr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2781300" cy="1000125"/>
                  <wp:effectExtent b="0" l="0" r="0" t="0"/>
                  <wp:docPr descr="Logo_A_Positivo_Colore" id="4" name="image5.jpg"/>
                  <a:graphic>
                    <a:graphicData uri="http://schemas.openxmlformats.org/drawingml/2006/picture">
                      <pic:pic>
                        <pic:nvPicPr>
                          <pic:cNvPr descr="Logo_A_Positivo_Colore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Title"/>
              <w:pageBreakBefore w:val="0"/>
              <w:ind w:left="171" w:right="444" w:firstLine="0"/>
              <w:rPr>
                <w:color w:val="ffffff"/>
                <w:sz w:val="60"/>
                <w:szCs w:val="6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ffffff"/>
                <w:sz w:val="60"/>
                <w:szCs w:val="60"/>
                <w:rtl w:val="0"/>
              </w:rPr>
              <w:t xml:space="preserve">Relazione annuale di monitoraggio AQ dei Corsi di Studio 2020</w:t>
            </w:r>
          </w:p>
          <w:p w:rsidR="00000000" w:rsidDel="00000000" w:rsidP="00000000" w:rsidRDefault="00000000" w:rsidRPr="00000000" w14:paraId="00000009">
            <w:pPr>
              <w:pStyle w:val="Title"/>
              <w:pageBreakBefore w:val="0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Title"/>
              <w:pageBreakBefore w:val="0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Sezione 2: Rilevazione dell’opinione degli studenti (OPIS)</w:t>
            </w:r>
          </w:p>
          <w:p w:rsidR="00000000" w:rsidDel="00000000" w:rsidP="00000000" w:rsidRDefault="00000000" w:rsidRPr="00000000" w14:paraId="0000000B">
            <w:pPr>
              <w:pStyle w:val="Title"/>
              <w:pageBreakBefore w:val="0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Sezione 3: Monitoraggio delle azioni correttive previste nel Rapporto di Riesame Ciclico (RRC)</w:t>
            </w:r>
          </w:p>
          <w:p w:rsidR="00000000" w:rsidDel="00000000" w:rsidP="00000000" w:rsidRDefault="00000000" w:rsidRPr="00000000" w14:paraId="0000000C">
            <w:pPr>
              <w:pStyle w:val="Title"/>
              <w:pageBreakBefore w:val="0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Sezione 4: Azioni correttive a seguito dei commenti alla Scheda di Monitoraggio Annuale (SMA)</w:t>
            </w:r>
          </w:p>
          <w:p w:rsidR="00000000" w:rsidDel="00000000" w:rsidP="00000000" w:rsidRDefault="00000000" w:rsidRPr="00000000" w14:paraId="0000000D">
            <w:pPr>
              <w:pStyle w:val="Title"/>
              <w:pageBreakBefore w:val="0"/>
              <w:ind w:left="171" w:right="444" w:firstLine="0"/>
              <w:rPr>
                <w:color w:val="ffffff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Title"/>
              <w:pageBreakBefore w:val="0"/>
              <w:ind w:left="171" w:right="444" w:firstLine="0"/>
              <w:rPr>
                <w:color w:val="ffffff"/>
                <w:sz w:val="36"/>
                <w:szCs w:val="36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Corso di Laurea in Scienze Geologiche</w:t>
            </w:r>
          </w:p>
          <w:p w:rsidR="00000000" w:rsidDel="00000000" w:rsidP="00000000" w:rsidRDefault="00000000" w:rsidRPr="00000000" w14:paraId="0000000F">
            <w:pPr>
              <w:pStyle w:val="Title"/>
              <w:pageBreakBefore w:val="0"/>
              <w:ind w:left="171" w:right="444" w:firstLine="0"/>
              <w:rPr>
                <w:color w:val="ffffff"/>
                <w:sz w:val="24"/>
                <w:szCs w:val="24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Style w:val="Title"/>
              <w:pageBreakBefore w:val="0"/>
              <w:ind w:left="171" w:right="444" w:firstLine="0"/>
              <w:rPr>
                <w:color w:val="ffffff"/>
                <w:sz w:val="24"/>
                <w:szCs w:val="24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Sezioni 2, 3 e 4 - Approvate dal Consiglio di Interclasse in Scienze Geologiche  in data 13/10/2020</w:t>
            </w:r>
          </w:p>
          <w:p w:rsidR="00000000" w:rsidDel="00000000" w:rsidP="00000000" w:rsidRDefault="00000000" w:rsidRPr="00000000" w14:paraId="00000011">
            <w:pPr>
              <w:pStyle w:val="Title"/>
              <w:pageBreakBefore w:val="0"/>
              <w:ind w:left="171" w:right="444" w:firstLine="0"/>
              <w:rPr>
                <w:color w:val="ffffff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Title"/>
              <w:pageBreakBefore w:val="0"/>
              <w:ind w:left="171" w:right="444" w:firstLine="0"/>
              <w:rPr>
                <w:color w:val="ffffff"/>
                <w:sz w:val="32"/>
                <w:szCs w:val="32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pageBreakBefore w:val="0"/>
              <w:ind w:left="171" w:right="444" w:firstLine="0"/>
              <w:rPr>
                <w:color w:val="ffffff"/>
                <w:sz w:val="32"/>
                <w:szCs w:val="32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before="200" w:lineRule="auto"/>
              <w:ind w:left="171" w:right="444" w:firstLine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Title"/>
        <w:pageBreakBefore w:val="0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Sezione 2</w:t>
      </w:r>
    </w:p>
    <w:p w:rsidR="00000000" w:rsidDel="00000000" w:rsidP="00000000" w:rsidRDefault="00000000" w:rsidRPr="00000000" w14:paraId="0000001A">
      <w:pPr>
        <w:pStyle w:val="Title"/>
        <w:pageBreakBefore w:val="0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Rilevazione dell’opinione degli studenti (OPIS)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La presente sezione: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- recepisce e analizza le opinioni sulla didattica degli studenti frequentanti;</w:t>
        <w:br w:type="textWrapping"/>
        <w:t xml:space="preserve">- individua i punti di forza e gli aspetti critici;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- rendiconta le azioni correttive previste e attuate nell’anno precedente;</w:t>
        <w:br w:type="textWrapping"/>
        <w:t xml:space="preserve">- programma eventuali azioni correttive.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Documenti presi in considerazione: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Opinioni sulla didattica degli studenti frequentanti (ultimi tre A.A.);</w:t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Relazione Annuale CPDS;</w:t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Relazione Annuale di Monitoraggio AQ CdS dell’anno precedente;</w:t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Dati e commenti di sintesi inseriti quadro B6-SUA-CDS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ageBreakBefore w:val="0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2-a - Monitoraggio azioni correttive attuate dal CdS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La RAM-AQ 2019 individuava:</w:t>
      </w:r>
    </w:p>
    <w:p w:rsidR="00000000" w:rsidDel="00000000" w:rsidP="00000000" w:rsidRDefault="00000000" w:rsidRPr="00000000" w14:paraId="0000002C">
      <w:pPr>
        <w:pageBreakBefore w:val="0"/>
        <w:widowControl w:val="0"/>
        <w:spacing w:after="120" w:before="240" w:line="240" w:lineRule="auto"/>
        <w:ind w:left="0" w:firstLine="0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Criticità 2019-: percezione di eccessivo carico didattico, carenza di conoscenze pregresse e insufficienza attività pratiche.</w:t>
      </w:r>
    </w:p>
    <w:p w:rsidR="00000000" w:rsidDel="00000000" w:rsidP="00000000" w:rsidRDefault="00000000" w:rsidRPr="00000000" w14:paraId="0000002D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La corrispondente Misura correttiva 2019-1, prevedeva “Istituzione di un gruppo di lavoro per la rimodulazione della LT 34 entro i limiti del vigente ordinamento”. </w:t>
      </w:r>
    </w:p>
    <w:p w:rsidR="00000000" w:rsidDel="00000000" w:rsidP="00000000" w:rsidRDefault="00000000" w:rsidRPr="00000000" w14:paraId="0000002E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Tale gruppo di lavoro si è riunito nel 1° semestre 2019 portando a modifiche effettive dalla coorte dell’AA 2020/21, tra cui: - rimodulare la suddivisione di insegnamenti a scelta o obbligatori nel pacchetto degli affini integrativi. - rinominare alcuni insegnamenti (questo anche al fine di renderli maggiormente esplicativi dei contenuti); rivedere la distribuzione di alcuni argomenti tra insegnamenti, al fine di migliorare il coordinamento. </w:t>
      </w:r>
    </w:p>
    <w:p w:rsidR="00000000" w:rsidDel="00000000" w:rsidP="00000000" w:rsidRDefault="00000000" w:rsidRPr="00000000" w14:paraId="0000002F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Criticità 2019-2: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Persistenza di alcune criticità relative a due insegnamenti su specifici quesiti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La corrispondente Misura correttiva 2019-2, prevedeva “Reiterazione da parte del responsabile dei CdS degli inviti ai docenti a rivedere le criticità emerse, anche attraverso una maggiore interazione con la componente studentesca”.</w:t>
      </w:r>
    </w:p>
    <w:p w:rsidR="00000000" w:rsidDel="00000000" w:rsidP="00000000" w:rsidRDefault="00000000" w:rsidRPr="00000000" w14:paraId="00000032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L’azione è stata attuata ed i dati OPIS 2019/20 mostrano la risoluzione delle situazioni di criticità individuate nella RAM-AQ 2019.</w:t>
      </w:r>
    </w:p>
    <w:p w:rsidR="00000000" w:rsidDel="00000000" w:rsidP="00000000" w:rsidRDefault="00000000" w:rsidRPr="00000000" w14:paraId="00000033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pageBreakBefore w:val="0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2-b - Analisi della situazione sulla base dei dati</w:t>
      </w:r>
    </w:p>
    <w:p w:rsidR="00000000" w:rsidDel="00000000" w:rsidP="00000000" w:rsidRDefault="00000000" w:rsidRPr="00000000" w14:paraId="00000038">
      <w:pPr>
        <w:pStyle w:val="Heading2"/>
        <w:pageBreakBefore w:val="0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Analisi dei dati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</w:t>
      </w:r>
      <w:r w:rsidDel="00000000" w:rsidR="00000000" w:rsidRPr="00000000">
        <w:rPr>
          <w:u w:val="single"/>
          <w:rtl w:val="0"/>
        </w:rPr>
        <w:t xml:space="preserve">ati di sintesi a corredo del QUADRO B6 della SUA-2019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sintetici della rilevazione relativa all'anno accademico 2018/19 forniti dall’Ateneo a corredo del QUADRO B6 SUA 2020 sono riportati nella tabella seguente: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Tabella 1: Quadro complessivo dell’Opinione studenti (L-34 Scienze Geologiche)</w:t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35560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I dati di sintesi OPIS 2019/20:</w:t>
      </w:r>
    </w:p>
    <w:p w:rsidR="00000000" w:rsidDel="00000000" w:rsidP="00000000" w:rsidRDefault="00000000" w:rsidRPr="00000000" w14:paraId="00000041">
      <w:pPr>
        <w:pageBreakBefore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sono riferiti ad un numero di risposte inferiore a quello degli anni precedenti;</w:t>
      </w:r>
    </w:p>
    <w:p w:rsidR="00000000" w:rsidDel="00000000" w:rsidP="00000000" w:rsidRDefault="00000000" w:rsidRPr="00000000" w14:paraId="00000042">
      <w:pPr>
        <w:pageBreakBefore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sono nel loro complesso estremamente lusinghieri, con valori che variano tra 82% e 95% sia nel 1° che nel 2° semestre, molto distanti dalle soglie di attenzione e criticità fissate dall'ateneo;</w:t>
      </w:r>
    </w:p>
    <w:p w:rsidR="00000000" w:rsidDel="00000000" w:rsidP="00000000" w:rsidRDefault="00000000" w:rsidRPr="00000000" w14:paraId="00000043">
      <w:pPr>
        <w:pageBreakBefore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l'indicatore D14 di soddisfazione complessiva è 87,3% nel 1° semestre e 89,4% nel 2 semestre;</w:t>
      </w:r>
    </w:p>
    <w:p w:rsidR="00000000" w:rsidDel="00000000" w:rsidP="00000000" w:rsidRDefault="00000000" w:rsidRPr="00000000" w14:paraId="00000044">
      <w:pPr>
        <w:pageBreakBefore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sono sostanzialmente in linea con quelli degli anni precedenti.</w:t>
      </w:r>
    </w:p>
    <w:p w:rsidR="00000000" w:rsidDel="00000000" w:rsidP="00000000" w:rsidRDefault="00000000" w:rsidRPr="00000000" w14:paraId="00000045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spacing w:after="240" w:before="240" w:line="240" w:lineRule="auto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D</w:t>
      </w:r>
      <w:r w:rsidDel="00000000" w:rsidR="00000000" w:rsidRPr="00000000">
        <w:rPr>
          <w:u w:val="single"/>
          <w:rtl w:val="0"/>
        </w:rPr>
        <w:t xml:space="preserve">ati complessivi a disposizione del Consiglio di Interclasse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 dati di sintesi della rilevazione OPIS dei singoli insegnamenti relativa all'anno accademico 2019/20 forniti dall’Ateneo sono riportati nelle tabelle seguenti:</w:t>
      </w:r>
    </w:p>
    <w:p w:rsidR="00000000" w:rsidDel="00000000" w:rsidP="00000000" w:rsidRDefault="00000000" w:rsidRPr="00000000" w14:paraId="0000004E">
      <w:pPr>
        <w:pageBreakBefore w:val="0"/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Tabella 2: Dati relativi all’Indicatore di Soddisfazione* domanda D14</w:t>
      </w:r>
      <w:r w:rsidDel="00000000" w:rsidR="00000000" w:rsidRPr="00000000">
        <w:rPr>
          <w:rtl w:val="0"/>
        </w:rPr>
        <w:t xml:space="preserve"> [D14: sei complessivamente soddisfatto di come si è svolto l'insegnamento?)]  L'indicatore è calcolato come rapporto tra le risposte positive e il totale delle risposte. * [N. Positivi (+Si/No + SI)] / Tot Risposte. Fornisce l’evidenza di:  situazione critica (risposte positive inferiori al 40%) situazione da monitorare (risposte positive comprese tra il 40% e il 60%)</w:t>
      </w:r>
    </w:p>
    <w:p w:rsidR="00000000" w:rsidDel="00000000" w:rsidP="00000000" w:rsidRDefault="00000000" w:rsidRPr="00000000" w14:paraId="0000004F">
      <w:pPr>
        <w:pageBreakBefore w:val="0"/>
        <w:widowControl w:val="0"/>
        <w:spacing w:after="24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731200" cy="4749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sull’indicatore D14 dei singoli insegnamenti evidenziano:</w:t>
      </w:r>
    </w:p>
    <w:p w:rsidR="00000000" w:rsidDel="00000000" w:rsidP="00000000" w:rsidRDefault="00000000" w:rsidRPr="00000000" w14:paraId="00000051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ASSENZA di situazioni da monitorare e di criticità</w:t>
      </w:r>
    </w:p>
    <w:p w:rsidR="00000000" w:rsidDel="00000000" w:rsidP="00000000" w:rsidRDefault="00000000" w:rsidRPr="00000000" w14:paraId="00000052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valori elevati che variano tra 67% e 100%.</w:t>
      </w:r>
    </w:p>
    <w:p w:rsidR="00000000" w:rsidDel="00000000" w:rsidP="00000000" w:rsidRDefault="00000000" w:rsidRPr="00000000" w14:paraId="00000053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sostanziale accordo con quelli degli anni precedenti.</w:t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Tabella 3: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Indicatore di soddisfazione per singole domande: </w:t>
      </w:r>
      <w:r w:rsidDel="00000000" w:rsidR="00000000" w:rsidRPr="00000000">
        <w:rPr>
          <w:rtl w:val="0"/>
        </w:rPr>
        <w:t xml:space="preserve">N. Positivi (+Si/No + SI) / TotRisposte. L'indicatore è calcolato come rapporto tra le risposte positive e il totale delle risposte.   Fornisce l’evidenza di una situazione critica (risposte positive inferiori al 40%) o da monitorare (risposte positive comprese tra il 40% e il 60%)</w:t>
      </w:r>
    </w:p>
    <w:p w:rsidR="00000000" w:rsidDel="00000000" w:rsidP="00000000" w:rsidRDefault="00000000" w:rsidRPr="00000000" w14:paraId="0000005F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vertAlign w:val="superscript"/>
        </w:rPr>
        <w:drawing>
          <wp:inline distB="114300" distT="114300" distL="114300" distR="114300">
            <wp:extent cx="5731200" cy="24638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vertAlign w:val="superscript"/>
        </w:rPr>
        <w:drawing>
          <wp:inline distB="114300" distT="114300" distL="114300" distR="114300">
            <wp:extent cx="5731200" cy="15875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sugli indicatori delle singole domande per i singoli insegnamenti evidenziano:</w:t>
      </w:r>
    </w:p>
    <w:p w:rsidR="00000000" w:rsidDel="00000000" w:rsidP="00000000" w:rsidRDefault="00000000" w:rsidRPr="00000000" w14:paraId="00000062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ALCUNE situazioni di criticità riferibili a conoscenze pregresse e carico del singolo insegnamento  ed in un caso per l'esplicitazione delle modalità di esame</w:t>
      </w:r>
    </w:p>
    <w:p w:rsidR="00000000" w:rsidDel="00000000" w:rsidP="00000000" w:rsidRDefault="00000000" w:rsidRPr="00000000" w14:paraId="00000063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ALCUNE situazioni di attenzione relative ad aspetti diversi a seconda dell’AF considerata.</w:t>
      </w:r>
    </w:p>
    <w:p w:rsidR="00000000" w:rsidDel="00000000" w:rsidP="00000000" w:rsidRDefault="00000000" w:rsidRPr="00000000" w14:paraId="00000064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MAGGIORANZA di valori che raggiungono anche il 100% nelle varie domande</w:t>
      </w:r>
    </w:p>
    <w:p w:rsidR="00000000" w:rsidDel="00000000" w:rsidP="00000000" w:rsidRDefault="00000000" w:rsidRPr="00000000" w14:paraId="00000065">
      <w:pPr>
        <w:pStyle w:val="Heading2"/>
        <w:pageBreakBefore w:val="0"/>
        <w:rPr/>
      </w:pPr>
      <w:bookmarkStart w:colFirst="0" w:colLast="0" w:name="_zhgiiun6iixx" w:id="18"/>
      <w:bookmarkEnd w:id="18"/>
      <w:r w:rsidDel="00000000" w:rsidR="00000000" w:rsidRPr="00000000">
        <w:rPr>
          <w:b w:val="1"/>
          <w:sz w:val="20"/>
          <w:szCs w:val="20"/>
          <w:rtl w:val="0"/>
        </w:rPr>
        <w:t xml:space="preserve">Tabella 4: Osservazioni ricevute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731200" cy="2120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pageBreakBefore w:val="0"/>
        <w:rPr/>
      </w:pPr>
      <w:bookmarkStart w:colFirst="0" w:colLast="0" w:name="_k59cnluoi5cc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sulle osservazioni mostrano percentuali maggiori, comunque basse e nell’ordine del 10%, relativamente alla richiesta di miglioramento del materiale didattico e di aumento delle ore di esercitazione ed inserimento di prove intermedie.</w:t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pageBreakBefore w:val="0"/>
        <w:rPr/>
      </w:pPr>
      <w:bookmarkStart w:colFirst="0" w:colLast="0" w:name="_tegvscdiybg9" w:id="20"/>
      <w:bookmarkEnd w:id="20"/>
      <w:r w:rsidDel="00000000" w:rsidR="00000000" w:rsidRPr="00000000">
        <w:rPr>
          <w:rtl w:val="0"/>
        </w:rPr>
        <w:t xml:space="preserve">Punti di forza individuati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I risultati in termini di soddisfazione complessiva (D14) sono ottimi. NON si hanno infatti situazioni critiche o da monitorare sia in forma aggregata (dati quadro B6) che per singolo insegnamento.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bookmarkStart w:colFirst="0" w:colLast="0" w:name="_3j2qqm3" w:id="21"/>
      <w:bookmarkEnd w:id="21"/>
      <w:r w:rsidDel="00000000" w:rsidR="00000000" w:rsidRPr="00000000">
        <w:rPr>
          <w:rtl w:val="0"/>
        </w:rPr>
        <w:t xml:space="preserve">Aspetto critico individuato n.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Il principale riguarda la percezione di eccessivo carico didattico di alcuni insegnamenti (che si riflette anche - ingiustificatamente - in una indicazione di eccessivo carico del semestre, che però non si rileva in altri insegnamenti del medesimo semestre.</w:t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bookmarkStart w:colFirst="0" w:colLast="0" w:name="_1y810tw" w:id="22"/>
      <w:bookmarkEnd w:id="22"/>
      <w:r w:rsidDel="00000000" w:rsidR="00000000" w:rsidRPr="00000000">
        <w:rPr>
          <w:rtl w:val="0"/>
        </w:rPr>
        <w:t xml:space="preserve">Causa/e presunta/e all’origine della criticità:</w:t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Si ritiene che la criticità sia sostanzialmente apparente, in quanto legata ad insegnamenti con contenuti tecnico scientifici più ampi e complessi, che vengono - a nostro avviso erroneamente- percepiti come eccessivi.</w:t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pageBreakBefore w:val="0"/>
        <w:rPr/>
      </w:pPr>
      <w:bookmarkStart w:colFirst="0" w:colLast="0" w:name="_4i7ojhp" w:id="23"/>
      <w:bookmarkEnd w:id="23"/>
      <w:r w:rsidDel="00000000" w:rsidR="00000000" w:rsidRPr="00000000">
        <w:rPr>
          <w:rtl w:val="0"/>
        </w:rPr>
        <w:t xml:space="preserve">2-c - Azioni correttive</w:t>
      </w:r>
    </w:p>
    <w:p w:rsidR="00000000" w:rsidDel="00000000" w:rsidP="00000000" w:rsidRDefault="00000000" w:rsidRPr="00000000" w14:paraId="00000074">
      <w:pPr>
        <w:pStyle w:val="Heading2"/>
        <w:pageBreakBefore w:val="0"/>
        <w:rPr/>
      </w:pPr>
      <w:bookmarkStart w:colFirst="0" w:colLast="0" w:name="_2xcytpi" w:id="24"/>
      <w:bookmarkEnd w:id="24"/>
      <w:r w:rsidDel="00000000" w:rsidR="00000000" w:rsidRPr="00000000">
        <w:rPr>
          <w:rtl w:val="0"/>
        </w:rPr>
        <w:t xml:space="preserve">Descrizione delle azioni correttive programmate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Nessuna. 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  <w:t xml:space="preserve">Si ritiene infatti che le criticità evidenziate rispetto il carico didattico di alcuni insegnamenti siano  sostanzialmente infondate, in quanto legate ad insegnamenti con contenuti tecnico scientifici più ampi e complessi, che vengono - a nostro avviso erroneamente- percepiti come eccessivi.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Title"/>
        <w:pageBreakBefore w:val="0"/>
        <w:rPr/>
      </w:pPr>
      <w:bookmarkStart w:colFirst="0" w:colLast="0" w:name="_1ci93xb" w:id="25"/>
      <w:bookmarkEnd w:id="25"/>
      <w:r w:rsidDel="00000000" w:rsidR="00000000" w:rsidRPr="00000000">
        <w:rPr>
          <w:rtl w:val="0"/>
        </w:rPr>
        <w:t xml:space="preserve">Sezione 3 </w:t>
      </w:r>
    </w:p>
    <w:p w:rsidR="00000000" w:rsidDel="00000000" w:rsidP="00000000" w:rsidRDefault="00000000" w:rsidRPr="00000000" w14:paraId="0000007A">
      <w:pPr>
        <w:pStyle w:val="Title"/>
        <w:pageBreakBefore w:val="0"/>
        <w:rPr/>
      </w:pPr>
      <w:bookmarkStart w:colFirst="0" w:colLast="0" w:name="_3whwml4" w:id="26"/>
      <w:bookmarkEnd w:id="26"/>
      <w:r w:rsidDel="00000000" w:rsidR="00000000" w:rsidRPr="00000000">
        <w:rPr>
          <w:rtl w:val="0"/>
        </w:rPr>
        <w:t xml:space="preserve">Monitoraggio delle azioni correttive previste nel Rapporto di Riesame Ciclico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La presente sezione: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  <w:t xml:space="preserve">- monitora le azioni correttive previste nel Rapporto di Riesame Ciclico;</w:t>
        <w:br w:type="textWrapping"/>
        <w:t xml:space="preserve">- analizza e commenta eventuali variazioni di contesto; </w:t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  <w:t xml:space="preserve">- programma eventuali modifiche (modalità, tempistiche e responsabilità di attuazione) delle azioni correttive precedentemente previste.</w:t>
        <w:br w:type="textWrapping"/>
      </w:r>
    </w:p>
    <w:p w:rsidR="00000000" w:rsidDel="00000000" w:rsidP="00000000" w:rsidRDefault="00000000" w:rsidRPr="00000000" w14:paraId="0000008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Documenti presi in considerazione:</w:t>
      </w:r>
    </w:p>
    <w:p w:rsidR="00000000" w:rsidDel="00000000" w:rsidP="00000000" w:rsidRDefault="00000000" w:rsidRPr="00000000" w14:paraId="0000008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Rapporto di Riesame Ciclico;</w:t>
      </w:r>
    </w:p>
    <w:p w:rsidR="00000000" w:rsidDel="00000000" w:rsidP="00000000" w:rsidRDefault="00000000" w:rsidRPr="00000000" w14:paraId="0000008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Relazione Annuale di Monitoraggio AQ CdS dell’anno precedente;</w:t>
      </w:r>
    </w:p>
    <w:p w:rsidR="00000000" w:rsidDel="00000000" w:rsidP="00000000" w:rsidRDefault="00000000" w:rsidRPr="00000000" w14:paraId="0000008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ogni altro documento ritenuto utile (inserire riferimenti).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pageBreakBefore w:val="0"/>
        <w:rPr/>
      </w:pPr>
      <w:bookmarkStart w:colFirst="0" w:colLast="0" w:name="_2bn6wsx" w:id="27"/>
      <w:bookmarkEnd w:id="27"/>
      <w:r w:rsidDel="00000000" w:rsidR="00000000" w:rsidRPr="00000000">
        <w:rPr>
          <w:rtl w:val="0"/>
        </w:rPr>
        <w:t xml:space="preserve">3-a - Sintesi dei principali mutamenti intercorsi dall’ultimo Riesame</w:t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Dall'ultimo RRC redatto nell'autunno del 2017, i principali mutamenti intercorsi sono:</w:t>
      </w:r>
    </w:p>
    <w:p w:rsidR="00000000" w:rsidDel="00000000" w:rsidP="00000000" w:rsidRDefault="00000000" w:rsidRPr="00000000" w14:paraId="0000008A">
      <w:pPr>
        <w:pageBreakBefore w:val="0"/>
        <w:widowControl w:val="0"/>
        <w:spacing w:after="24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l'elezione di un nuovo responsabile dei CdS che ha preso servizio a partire da novembre 2018;</w:t>
      </w:r>
    </w:p>
    <w:p w:rsidR="00000000" w:rsidDel="00000000" w:rsidP="00000000" w:rsidRDefault="00000000" w:rsidRPr="00000000" w14:paraId="0000008B">
      <w:pPr>
        <w:pageBreakBefore w:val="0"/>
        <w:widowControl w:val="0"/>
        <w:spacing w:after="24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lo stanziamento da parte dell'Ateneo, sulla base di una legge nazionale, di fondi per l'incentivazione delle immatricolazioni e fruizione dei corsi di laurea in scienze geologiche (sia L34 che LM74)</w:t>
      </w:r>
    </w:p>
    <w:p w:rsidR="00000000" w:rsidDel="00000000" w:rsidP="00000000" w:rsidRDefault="00000000" w:rsidRPr="00000000" w14:paraId="0000008C">
      <w:pPr>
        <w:pageBreakBefore w:val="0"/>
        <w:widowControl w:val="0"/>
        <w:spacing w:after="24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Alcune variazioni di personale docente e ricercatore (pensionamenti e nuove assunzioni)</w:t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pageBreakBefore w:val="0"/>
        <w:rPr/>
      </w:pPr>
      <w:bookmarkStart w:colFirst="0" w:colLast="0" w:name="_qsh70q" w:id="28"/>
      <w:bookmarkEnd w:id="28"/>
      <w:r w:rsidDel="00000000" w:rsidR="00000000" w:rsidRPr="00000000">
        <w:rPr>
          <w:rtl w:val="0"/>
        </w:rPr>
        <w:t xml:space="preserve">3-b - Monitoraggio azioni correttive previste dal Rapporto di Riesame Ciclico</w:t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Nel precedente RRC l'unica azione correttiva prevista riguardava il miglioramento della fruibilità di due aule con la sostituzione di parte dell'impianto audiovisivo (sezione 3-c, Obiettivo n. 2017-3-1:).</w:t>
      </w:r>
    </w:p>
    <w:p w:rsidR="00000000" w:rsidDel="00000000" w:rsidP="00000000" w:rsidRDefault="00000000" w:rsidRPr="00000000" w14:paraId="00000091">
      <w:pPr>
        <w:pageBreakBefore w:val="0"/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L'azione è stata attuata con successo.</w:t>
      </w:r>
    </w:p>
    <w:p w:rsidR="00000000" w:rsidDel="00000000" w:rsidP="00000000" w:rsidRDefault="00000000" w:rsidRPr="00000000" w14:paraId="00000092">
      <w:pPr>
        <w:pageBreakBefore w:val="0"/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pageBreakBefore w:val="0"/>
        <w:rPr/>
      </w:pPr>
      <w:bookmarkStart w:colFirst="0" w:colLast="0" w:name="_3as4poj" w:id="29"/>
      <w:bookmarkEnd w:id="29"/>
      <w:r w:rsidDel="00000000" w:rsidR="00000000" w:rsidRPr="00000000">
        <w:rPr>
          <w:rtl w:val="0"/>
        </w:rPr>
        <w:t xml:space="preserve">3-c - Modifiche delle azioni correttive previste</w:t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Non sono previste modifiche dell'azione, in quanto completata/attuata.</w:t>
      </w:r>
    </w:p>
    <w:p w:rsidR="00000000" w:rsidDel="00000000" w:rsidP="00000000" w:rsidRDefault="00000000" w:rsidRPr="00000000" w14:paraId="00000098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Sezione 4 </w:t>
      </w:r>
    </w:p>
    <w:p w:rsidR="00000000" w:rsidDel="00000000" w:rsidP="00000000" w:rsidRDefault="00000000" w:rsidRPr="00000000" w14:paraId="000000BE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Azioni correttive a seguito dei commenti alla Scheda di Monitoraggio Annuale (SMA)  </w:t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  <w:t xml:space="preserve">La presente sezione:</w:t>
      </w:r>
    </w:p>
    <w:p w:rsidR="00000000" w:rsidDel="00000000" w:rsidP="00000000" w:rsidRDefault="00000000" w:rsidRPr="00000000" w14:paraId="000000C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riporta parti del commento complessivo inserito nella Scheda di Monitoraggio Annuale (SMA), con particolare riferimento a indicatori ANVUR dalla cui analisi siano emerse criticità circoscritte, ovvero affrontabili dal CdS su un orizzonte annuale e, dunque, tali da non richiedere l’anticipazione del Rapporto di Riesame Ciclico (RRC);</w:t>
      </w:r>
    </w:p>
    <w:p w:rsidR="00000000" w:rsidDel="00000000" w:rsidP="00000000" w:rsidRDefault="00000000" w:rsidRPr="00000000" w14:paraId="000000C3">
      <w:pPr>
        <w:pageBreakBefore w:val="0"/>
        <w:rPr/>
      </w:pPr>
      <w:r w:rsidDel="00000000" w:rsidR="00000000" w:rsidRPr="00000000">
        <w:rPr>
          <w:rtl w:val="0"/>
        </w:rPr>
        <w:t xml:space="preserve">- indica eventuali azioni correttive, su un orizzonte di norma annuale, a seguito dei commenti alla SMA; </w:t>
        <w:br w:type="textWrapping"/>
        <w:t xml:space="preserve">- rendiconta le eventuali azioni correttive previste e attuate nell’anno precedente. </w:t>
      </w:r>
    </w:p>
    <w:p w:rsidR="00000000" w:rsidDel="00000000" w:rsidP="00000000" w:rsidRDefault="00000000" w:rsidRPr="00000000" w14:paraId="000000C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Documenti presi in considerazione:</w:t>
      </w:r>
    </w:p>
    <w:p w:rsidR="00000000" w:rsidDel="00000000" w:rsidP="00000000" w:rsidRDefault="00000000" w:rsidRPr="00000000" w14:paraId="000000C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Scheda di Monitoraggio Annuale;</w:t>
      </w:r>
    </w:p>
    <w:p w:rsidR="00000000" w:rsidDel="00000000" w:rsidP="00000000" w:rsidRDefault="00000000" w:rsidRPr="00000000" w14:paraId="000000C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Relazione Annuale di Monitoraggio AQ CdS dell’anno precedente;</w:t>
      </w:r>
    </w:p>
    <w:p w:rsidR="00000000" w:rsidDel="00000000" w:rsidP="00000000" w:rsidRDefault="00000000" w:rsidRPr="00000000" w14:paraId="000000C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ogni altro documento ritenuto utile (inserire riferimenti).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/>
      </w:pPr>
      <w:bookmarkStart w:colFirst="0" w:colLast="0" w:name="_1pxezwc" w:id="30"/>
      <w:bookmarkEnd w:id="30"/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highlight w:val="white"/>
          <w:rtl w:val="0"/>
        </w:rPr>
        <w:t xml:space="preserve">NOTA: “Questa Sezione, con le relative attività di AQ associate, diventerà ufficialmente operativa a partire dal 2021. E' comunque nella facoltà dei CdS procedere con la compilazione di questa sezione già nell'anno corrente"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4-a - Monitoraggio azioni correttive previste dal CdS</w:t>
      </w:r>
    </w:p>
    <w:p w:rsidR="00000000" w:rsidDel="00000000" w:rsidP="00000000" w:rsidRDefault="00000000" w:rsidRPr="00000000" w14:paraId="000000C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  <w:t xml:space="preserve">Inserisci testo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4-b - Analisi della situazione sulla base dei dati</w:t>
      </w:r>
    </w:p>
    <w:p w:rsidR="00000000" w:rsidDel="00000000" w:rsidP="00000000" w:rsidRDefault="00000000" w:rsidRPr="00000000" w14:paraId="000000D2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Analisi dei dati e punti di debolezza individuati </w:t>
      </w:r>
    </w:p>
    <w:p w:rsidR="00000000" w:rsidDel="00000000" w:rsidP="00000000" w:rsidRDefault="00000000" w:rsidRPr="00000000" w14:paraId="000000D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Inserisci testo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r w:rsidDel="00000000" w:rsidR="00000000" w:rsidRPr="00000000">
        <w:rPr>
          <w:rtl w:val="0"/>
        </w:rPr>
        <w:t xml:space="preserve">Aspetto critico individuato n.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Inserisci testo (in forma di titolo sintetico)</w:t>
      </w:r>
    </w:p>
    <w:p w:rsidR="00000000" w:rsidDel="00000000" w:rsidP="00000000" w:rsidRDefault="00000000" w:rsidRPr="00000000" w14:paraId="000000D8">
      <w:pPr>
        <w:pStyle w:val="Heading2"/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r w:rsidDel="00000000" w:rsidR="00000000" w:rsidRPr="00000000">
        <w:rPr>
          <w:rtl w:val="0"/>
        </w:rPr>
        <w:t xml:space="preserve">Causa/e presunta/e all’origine della criticità:</w:t>
      </w:r>
    </w:p>
    <w:p w:rsidR="00000000" w:rsidDel="00000000" w:rsidP="00000000" w:rsidRDefault="00000000" w:rsidRPr="00000000" w14:paraId="000000D9">
      <w:pPr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Inserisci testo</w:t>
      </w:r>
    </w:p>
    <w:p w:rsidR="00000000" w:rsidDel="00000000" w:rsidP="00000000" w:rsidRDefault="00000000" w:rsidRPr="00000000" w14:paraId="000000D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4-c - Azioni correttive</w:t>
      </w:r>
    </w:p>
    <w:p w:rsidR="00000000" w:rsidDel="00000000" w:rsidP="00000000" w:rsidRDefault="00000000" w:rsidRPr="00000000" w14:paraId="000000DD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Descrizione delle azioni correttive programmate</w:t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  <w:t xml:space="preserve">Inserisci testo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4" w:w="11909" w:orient="portrait"/>
      <w:pgMar w:bottom="1440" w:top="993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ageBreakBefore w:val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pageBreakBefore w:val="0"/>
      <w:jc w:val="right"/>
      <w:rPr/>
    </w:pPr>
    <w:r w:rsidDel="00000000" w:rsidR="00000000" w:rsidRPr="00000000">
      <w:rPr>
        <w:rtl w:val="0"/>
      </w:rPr>
      <w:t xml:space="preserve">Relazione Annuale di Monitoraggio AQ CdS 2020 - Sezioni 2-4</w:t>
    </w:r>
  </w:p>
  <w:p w:rsidR="00000000" w:rsidDel="00000000" w:rsidP="00000000" w:rsidRDefault="00000000" w:rsidRPr="00000000" w14:paraId="000000FA">
    <w:pPr>
      <w:pageBreakBefore w:val="0"/>
      <w:jc w:val="right"/>
      <w:rPr/>
    </w:pPr>
    <w:r w:rsidDel="00000000" w:rsidR="00000000" w:rsidRPr="00000000">
      <w:rPr>
        <w:rtl w:val="0"/>
      </w:rPr>
      <w:t xml:space="preserve">Approvata dal Consiglio di Interclasse in Scienze Geologiche in data 13/10/2020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2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Replicare il riquadro per tutti gli y ‘Aspetti critici’ individuati nell’analisi dei dati.</w:t>
      </w:r>
    </w:p>
    <w:p w:rsidR="00000000" w:rsidDel="00000000" w:rsidP="00000000" w:rsidRDefault="00000000" w:rsidRPr="00000000" w14:paraId="000000E3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E4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Inserire una </w:t>
      </w:r>
      <w:r w:rsidDel="00000000" w:rsidR="00000000" w:rsidRPr="00000000">
        <w:rPr>
          <w:b w:val="1"/>
          <w:i w:val="1"/>
          <w:rtl w:val="0"/>
        </w:rPr>
        <w:t xml:space="preserve">breve</w:t>
      </w:r>
      <w:r w:rsidDel="00000000" w:rsidR="00000000" w:rsidRPr="00000000">
        <w:rPr>
          <w:i w:val="1"/>
          <w:rtl w:val="0"/>
        </w:rPr>
        <w:t xml:space="preserve"> rendicontazione delle azioni correttive previste nella Relazione Annuale di Monitoraggio AQ CdS dell’anno precedente e/o in altri documenti del CdS. </w:t>
      </w:r>
    </w:p>
    <w:p w:rsidR="00000000" w:rsidDel="00000000" w:rsidP="00000000" w:rsidRDefault="00000000" w:rsidRPr="00000000" w14:paraId="000000E5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Riportare lo stato di attuazione di ogni singola azione prevista (attuata, non attuata, parzialmente attuata) insieme a una </w:t>
      </w:r>
      <w:r w:rsidDel="00000000" w:rsidR="00000000" w:rsidRPr="00000000">
        <w:rPr>
          <w:b w:val="1"/>
          <w:i w:val="1"/>
          <w:rtl w:val="0"/>
        </w:rPr>
        <w:t xml:space="preserve">breve</w:t>
      </w:r>
      <w:r w:rsidDel="00000000" w:rsidR="00000000" w:rsidRPr="00000000">
        <w:rPr>
          <w:i w:val="1"/>
          <w:rtl w:val="0"/>
        </w:rPr>
        <w:t xml:space="preserve"> descrizione delle attività svolte e dei risultati raggiunti rispetto a quelli attesi. Motivare eventuali scostamenti rispetto a quanto previsto.</w:t>
      </w:r>
    </w:p>
    <w:p w:rsidR="00000000" w:rsidDel="00000000" w:rsidP="00000000" w:rsidRDefault="00000000" w:rsidRPr="00000000" w14:paraId="000000E7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 assenza di azioni correttive precedentemente previste, inserire la frase "Non sono state previste azioni correttive nella Relazione Annuale di Monitoraggio AQ CdS dell’anno precedente o in altri documenti del CdS."</w:t>
      </w:r>
    </w:p>
    <w:p w:rsidR="00000000" w:rsidDel="00000000" w:rsidP="00000000" w:rsidRDefault="00000000" w:rsidRPr="00000000" w14:paraId="000000E9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 caso di prima stesura della sezione, inserire la frase: “Anno di avvio della presente attività: non ci sono azioni correttive da monitorare”.</w:t>
      </w:r>
    </w:p>
    <w:p w:rsidR="00000000" w:rsidDel="00000000" w:rsidP="00000000" w:rsidRDefault="00000000" w:rsidRPr="00000000" w14:paraId="000000EB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C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Questa parte è collegata al commento critico inserito nella Scheda di Monitoraggio Annuale. È dunque sufficiente riportare dalla SMA il commento relativo allo specifico indicatore selezionato. </w:t>
      </w:r>
    </w:p>
    <w:p w:rsidR="00000000" w:rsidDel="00000000" w:rsidP="00000000" w:rsidRDefault="00000000" w:rsidRPr="00000000" w14:paraId="000000ED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EE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Replicare il riquadro per tutti gli y ‘Aspetti critici’ individuati nell’analisi dei dati.</w:t>
      </w:r>
    </w:p>
    <w:p w:rsidR="00000000" w:rsidDel="00000000" w:rsidP="00000000" w:rsidRDefault="00000000" w:rsidRPr="00000000" w14:paraId="000000EF">
      <w:pPr>
        <w:pageBreakBefore w:val="0"/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F0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Inserire una </w:t>
      </w:r>
      <w:r w:rsidDel="00000000" w:rsidR="00000000" w:rsidRPr="00000000">
        <w:rPr>
          <w:b w:val="1"/>
          <w:i w:val="1"/>
          <w:rtl w:val="0"/>
        </w:rPr>
        <w:t xml:space="preserve">breve</w:t>
      </w:r>
      <w:r w:rsidDel="00000000" w:rsidR="00000000" w:rsidRPr="00000000">
        <w:rPr>
          <w:i w:val="1"/>
          <w:rtl w:val="0"/>
        </w:rPr>
        <w:t xml:space="preserve"> descrizione delle </w:t>
      </w:r>
      <w:r w:rsidDel="00000000" w:rsidR="00000000" w:rsidRPr="00000000">
        <w:rPr>
          <w:b w:val="1"/>
          <w:i w:val="1"/>
          <w:rtl w:val="0"/>
        </w:rPr>
        <w:t xml:space="preserve">eventuali</w:t>
      </w:r>
      <w:r w:rsidDel="00000000" w:rsidR="00000000" w:rsidRPr="00000000">
        <w:rPr>
          <w:i w:val="1"/>
          <w:rtl w:val="0"/>
        </w:rPr>
        <w:t xml:space="preserve"> azioni correttive da attuare per la risoluzione degli aspetti critici individuati nella sezione precedente 4-b. Dettagliare sempre modalità, tempistiche e responsabilità di attuazione di ciascuna azione programmata.</w:t>
      </w:r>
    </w:p>
    <w:p w:rsidR="00000000" w:rsidDel="00000000" w:rsidP="00000000" w:rsidRDefault="00000000" w:rsidRPr="00000000" w14:paraId="000000F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d14124" w:val="clear"/>
      <w:spacing w:after="120" w:line="240" w:lineRule="auto"/>
    </w:pPr>
    <w:rPr>
      <w:color w:val="fffff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5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